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sz w:val="28"/>
          <w:szCs w:val="28"/>
          <w:lang w:eastAsia="de-DE"/>
        </w:rPr>
      </w:pP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8"/>
          <w:szCs w:val="28"/>
          <w:rFonts w:ascii="Corbel" w:hAnsi="Corbel" w:cs="Times New Roman"/>
        </w:rPr>
      </w:pPr>
      <w:r>
        <w:rPr>
          <w:b/>
          <w:sz w:val="28"/>
          <w:rFonts w:ascii="Corbel" w:hAnsi="Corbel"/>
        </w:rPr>
        <w:t xml:space="preserve">Informacija za zakonske skrbnike -</w:t>
      </w:r>
      <w:r>
        <w:rPr>
          <w:b/>
          <w:sz w:val="28"/>
          <w:rFonts w:ascii="Corbel" w:hAnsi="Corbel"/>
        </w:rPr>
        <w:br/>
      </w:r>
      <w:r>
        <w:rPr>
          <w:b/>
          <w:sz w:val="28"/>
          <w:rFonts w:ascii="Corbel" w:hAnsi="Corbel"/>
        </w:rPr>
        <w:t xml:space="preserve">Dodatak obrascu zahtjeva</w:t>
      </w:r>
    </w:p>
    <w:p w:rsid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  <w:lang w:eastAsia="de-DE"/>
        </w:rPr>
      </w:pP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Posebne obrazovne potrebe - Što je to?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Posebne obrazovne potrebe (u skladu s čl. 8. Zakona o obveznom obrazovanju) utvrđuju se kada dijete zbog određenih teškoća ne može pratiti nastavu bez posebne obrazovne podrške.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Teškoće obuhvaćaju ograničenje tjelesnih, umnih ili psihičkih funkcija ili ograničenje osjetilnih funkcija koja trajno otežavaju praćenje i sudjelovanje u nastavi.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Ne samo privremenim (trajnim) smatra se vremensko razdoblje koje će vjerojatno trajati dulje od šest mjeseci.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Posebne obrazovne potrebe ne treba poistovjetiti sa školskim problemima u jednom predmetu ili više njih i lošim ocjenama.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Svaka škola dužna je u najvećoj mogućoj mjeri iscrpiti sve raspoložive mogućnosti podrške učeniku prije nego što se podnese zahtjev za utvrđenje posebnih obrazovnih potreba.</w:t>
      </w:r>
      <w:r>
        <w:rPr>
          <w:sz w:val="23"/>
          <w:rFonts w:ascii="Corbel" w:hAnsi="Corbel"/>
        </w:rPr>
        <w:t xml:space="preserve"> </w:t>
      </w:r>
    </w:p>
    <w:p w:rsidR="00EF7C60" w:rsidRPr="00EF7C60" w:rsidRDefault="00EF7C60" w:rsidP="00EF7C60">
      <w:pPr>
        <w:pStyle w:val="KeinLeerraum"/>
        <w:spacing w:line="276" w:lineRule="auto"/>
        <w:rPr>
          <w:b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Tko podnosi zahtjev za utvrđenje posebnih obrazovnih potreba?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Zahtjev za utvrđenje posebnih obrazovnih potreba u pravilu podnosi zakonski skrbnik.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 iznimnim slučajevima može se podnijeti i po službenoj dužnosti (npr. na zahtjev uprave škole).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 smislu partnerske suradnje sa školom treba paziti na transparentnost i što veće suglasje između partnera.</w:t>
      </w: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Kako se utvrđuje nužnost posebnih obrazovnih potreba?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Odluku o posebnim obrazovnim potrebama donosi Ured za školstvo i obrazovanje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koji u donošenju svoje odluke uvažava stručna mišljenja.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Izrada takvih stručnih mišljenja povjerava se osposobljenim osobama (npr. školskim psiholozima).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Stručna mišljenja mogu predati i zakonski skrbnici.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 okviru savjetovanja se na zahtjev zakonskih skrbnika razjašnjavaju sadržaji tih stručnih mišljenja.</w:t>
      </w: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Koju školu može pohađati dijete s posebnim obrazovnim potrebama?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Povodom utvrđenja posebnih obrazovnih potreba i prijelaza u sekundarnu školu Ured za školstvo i obrazovanje dužan je savjetovati zakonske skrbnike o postojećim mogućnostima podrške u školama za posebne potrebe kao i u općim školama.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Ako roditelji ili zakonski skrbnici izraze želju da dijete bude primljeno u osnovnu školu, višu osnovnu školu, srednju školu, politehničku školu, nižu razinu općeobrazovne više škole ili jednogodišnju strukovnu školu za ekonomska zanimanja, Ured za školstvo i obrazovanje dužan je informirati roditelje odnosno zakonske skrbnike o najbližoj općoj školi koja nudi mjere posebnih obrazovnih potreba.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Tijekom utvrđenja posebnih obrazovnih potreba potrebno je navesti školu koju bi dijete moglo pohađati.</w:t>
      </w: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Kako se procjenjuje dijete?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Ured za školstvo i obrazovanje utvrđuje hoće li se dijete i u kojoj mjeri podučavati prema nastavnom planu škole za posebne potrebe ili prema programu neke druge vrste škole.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Pri tom utvrđenju treba nastojati osigurati djetetu najbolju moguću podršku.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Dijete dobiva svjedodžbu škole koju pohađa.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 svjedodžbi mora biti naveden nastavni plan, tj. nastavni planovi koje je odredio Ured za školstvo i obrazovanje te odgovarajući stupanj obrazovanja.</w:t>
      </w: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Koje mjere podrške se pružaju djetetu?</w:t>
      </w:r>
    </w:p>
    <w:p w:rsidR="00EF7C60" w:rsidRPr="00EF7C60" w:rsidRDefault="00EF7C60" w:rsidP="00EF7C60">
      <w:pPr>
        <w:pStyle w:val="KeinLeerraum"/>
        <w:spacing w:after="120"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Prateće nastavno osoblje izrađuje individualan plan za svako dijete kojem je potrebna posebna obrazovna podrška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koji obuhvaća raznovrsne mjere, usklađene s pojedinačnom situacijom.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 skladu s utvrđenjima iz rješenja Ureda za školstvo i obrazovanje, mjere se ravnaju prema utvrđenim nastavnim planovima.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Ovisno o raspoloživim mogućnostima može se angažirati dodatno osoblje.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O načinu i opsegu angažmana dodatnog osoblja odlučuje Ured za školstvo i obrazovanje.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Ured za školstvo i obrazovanje pomaže nastavnom osoblju koje podučava djecu kojoj je potrebna posebna obrazovna podrška.</w:t>
      </w:r>
      <w:r>
        <w:rPr>
          <w:sz w:val="23"/>
          <w:rFonts w:ascii="Corbel" w:hAnsi="Corbel"/>
        </w:rPr>
        <w:t xml:space="preserve"> </w:t>
      </w:r>
    </w:p>
    <w:p w:rsidR="00EF7C60" w:rsidRPr="00EF7C60" w:rsidRDefault="00EF7C60" w:rsidP="00EF7C60">
      <w:pPr>
        <w:pStyle w:val="KeinLeerraum"/>
        <w:spacing w:line="276" w:lineRule="auto"/>
        <w:rPr>
          <w:b/>
          <w:bCs/>
          <w:sz w:val="23"/>
          <w:szCs w:val="23"/>
          <w:rFonts w:ascii="Corbel" w:hAnsi="Corbel" w:cs="Times New Roman"/>
        </w:rPr>
      </w:pPr>
      <w:r>
        <w:rPr>
          <w:b/>
          <w:sz w:val="23"/>
          <w:rFonts w:ascii="Corbel" w:hAnsi="Corbel"/>
        </w:rPr>
        <w:t xml:space="preserve">Važna prava zakonskih skrbnika u okviru postupka utvrđivanja posebnih obrazovnih potreba</w:t>
      </w:r>
    </w:p>
    <w:p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Imate pravo na tumača.</w:t>
      </w:r>
    </w:p>
    <w:p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Možete predati dodatna stručna mišljenja, na primjer medicinske nalaze ili izvješća o psihološkim pretragama, mišljenja iz područja terapije, itd.</w:t>
      </w:r>
    </w:p>
    <w:p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Prije izdavanja rješenja u okviru saslušanja stranaka bit ćete informirani o prikupljenim stručnim mišljenjima.</w:t>
      </w:r>
      <w:r>
        <w:rPr>
          <w:sz w:val="23"/>
          <w:rFonts w:ascii="Corbel" w:hAnsi="Corbel"/>
        </w:rPr>
        <w:t xml:space="preserve"> </w:t>
      </w:r>
      <w:r>
        <w:rPr>
          <w:sz w:val="23"/>
          <w:rFonts w:ascii="Corbel" w:hAnsi="Corbel"/>
        </w:rPr>
        <w:t xml:space="preserve">Imate mogućnost predati pisano stajalište ili u okviru savjetovanja raspraviti rezultate stručnog mišljenja i daljnje postupanje.</w:t>
      </w:r>
    </w:p>
    <w:p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sz w:val="23"/>
          <w:szCs w:val="23"/>
          <w:rFonts w:ascii="Corbel" w:hAnsi="Corbel" w:cs="Times New Roman"/>
        </w:rPr>
      </w:pPr>
      <w:r>
        <w:rPr>
          <w:sz w:val="23"/>
          <w:rFonts w:ascii="Corbel" w:hAnsi="Corbel"/>
        </w:rPr>
        <w:t xml:space="preserve">Možete podnijeti zahtjev za preispitivanje posebnih obrazovnih potreba i njihovo ukidanje.</w:t>
      </w:r>
    </w:p>
    <w:p w:rsidR="00493006" w:rsidRPr="00EF7C60" w:rsidRDefault="00EF7C60" w:rsidP="00EF7C60">
      <w:pPr>
        <w:rPr>
          <w:sz w:val="23"/>
          <w:szCs w:val="23"/>
        </w:rPr>
      </w:pPr>
      <w:r>
        <w:rPr>
          <w:sz w:val="23"/>
          <w:rFonts w:ascii="Corbel" w:hAnsi="Corbel"/>
        </w:rPr>
        <w:t xml:space="preserve">Pri Saveznom upravnom sudu možete uložiti prigovor na rješenje.</w:t>
      </w:r>
    </w:p>
    <w:sectPr w:rsidR="00493006" w:rsidRPr="00EF7C60" w:rsidSect="00EF7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E69" w:rsidRDefault="00B65E69" w:rsidP="00EF7C60">
      <w:pPr>
        <w:spacing w:after="0" w:line="240" w:lineRule="auto"/>
      </w:pPr>
      <w:r>
        <w:separator/>
      </w:r>
    </w:p>
  </w:endnote>
  <w:endnote w:type="continuationSeparator" w:id="0">
    <w:p w:rsidR="00B65E69" w:rsidRDefault="00B65E69" w:rsidP="00EF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18D3" w:rsidRDefault="00FB18D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17"/>
        <w:szCs w:val="17"/>
      </w:rPr>
      <w:id w:val="-106632897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7"/>
            <w:szCs w:val="17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B18D3" w:rsidRPr="00FB18D3" w:rsidRDefault="00FB18D3">
            <w:pPr>
              <w:pStyle w:val="Fuzeile"/>
              <w:jc w:val="right"/>
              <w:rPr>
                <w:sz w:val="17"/>
                <w:szCs w:val="17"/>
                <w:rFonts w:ascii="Corbel" w:hAnsi="Corbel"/>
              </w:rPr>
            </w:pPr>
            <w:r>
              <w:rPr>
                <w:sz w:val="17"/>
                <w:rFonts w:ascii="Corbel" w:hAnsi="Corbel"/>
              </w:rPr>
              <w:t xml:space="preserve">Stranica </w:t>
            </w:r>
            <w:r w:rsidRPr="00FB18D3">
              <w:rPr>
                <w:b/>
                <w:sz w:val="17"/>
                <w:rFonts w:ascii="Corbel" w:hAnsi="Corbel"/>
              </w:rPr>
              <w:fldChar w:fldCharType="begin"/>
            </w:r>
            <w:r w:rsidRPr="00FB18D3">
              <w:rPr>
                <w:b/>
                <w:sz w:val="17"/>
                <w:rFonts w:ascii="Corbel" w:hAnsi="Corbel"/>
              </w:rPr>
              <w:instrText>PAGE</w:instrText>
            </w:r>
            <w:r w:rsidRPr="00FB18D3">
              <w:rPr>
                <w:b/>
                <w:sz w:val="17"/>
                <w:rFonts w:ascii="Corbel" w:hAnsi="Corbel"/>
              </w:rPr>
              <w:fldChar w:fldCharType="separate"/>
            </w:r>
            <w:r w:rsidR="00D5315F">
              <w:rPr>
                <w:b/>
                <w:sz w:val="17"/>
                <w:rFonts w:ascii="Corbel" w:hAnsi="Corbel"/>
              </w:rPr>
              <w:t>2</w:t>
            </w:r>
            <w:r w:rsidRPr="00FB18D3">
              <w:rPr>
                <w:b/>
                <w:sz w:val="17"/>
                <w:rFonts w:ascii="Corbel" w:hAnsi="Corbel"/>
              </w:rPr>
              <w:fldChar w:fldCharType="end"/>
            </w:r>
            <w:r>
              <w:rPr>
                <w:sz w:val="17"/>
                <w:rFonts w:ascii="Corbel" w:hAnsi="Corbel"/>
              </w:rPr>
              <w:t xml:space="preserve"> od </w:t>
            </w:r>
            <w:r w:rsidRPr="00FB18D3">
              <w:rPr>
                <w:b/>
                <w:sz w:val="17"/>
                <w:rFonts w:ascii="Corbel" w:hAnsi="Corbel"/>
              </w:rPr>
              <w:fldChar w:fldCharType="begin" w:dirty="true"/>
            </w:r>
            <w:r w:rsidRPr="00FB18D3">
              <w:rPr>
                <w:b/>
                <w:sz w:val="17"/>
                <w:rFonts w:ascii="Corbel" w:hAnsi="Corbel"/>
              </w:rPr>
              <w:instrText>NUMPAGES</w:instrText>
            </w:r>
            <w:r w:rsidRPr="00FB18D3">
              <w:rPr>
                <w:b/>
                <w:sz w:val="17"/>
                <w:rFonts w:ascii="Corbel" w:hAnsi="Corbel"/>
              </w:rPr>
              <w:fldChar w:fldCharType="separate"/>
            </w:r>
            <w:r w:rsidR="00D5315F">
              <w:rPr>
                <w:b/>
                <w:sz w:val="17"/>
                <w:rFonts w:ascii="Corbel" w:hAnsi="Corbel"/>
              </w:rPr>
              <w:t>2</w:t>
            </w:r>
            <w:r w:rsidRPr="00FB18D3">
              <w:rPr>
                <w:b/>
                <w:sz w:val="17"/>
                <w:rFonts w:ascii="Corbel" w:hAnsi="Corbel"/>
              </w:rPr>
              <w:fldChar w:fldCharType="end"/>
            </w:r>
          </w:p>
        </w:sdtContent>
      </w:sdt>
    </w:sdtContent>
  </w:sdt>
  <w:p w:rsidR="00FB18D3" w:rsidRDefault="00FB18D3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18D3" w:rsidRDefault="00FB18D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E69" w:rsidRDefault="00B65E69" w:rsidP="00EF7C60">
      <w:pPr>
        <w:spacing w:after="0" w:line="240" w:lineRule="auto"/>
      </w:pPr>
      <w:r>
        <w:separator/>
      </w:r>
    </w:p>
  </w:footnote>
  <w:footnote w:type="continuationSeparator" w:id="0">
    <w:p w:rsidR="00B65E69" w:rsidRDefault="00B65E69" w:rsidP="00EF7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18D3" w:rsidRDefault="00FB18D3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23"/>
        <w:szCs w:val="23"/>
      </w:rPr>
      <w:id w:val="673924340"/>
      <w:docPartObj>
        <w:docPartGallery w:val="Page Numbers (Top of Page)"/>
        <w:docPartUnique/>
      </w:docPartObj>
    </w:sdtPr>
    <w:sdtEndPr/>
    <w:sdtContent>
      <w:p w:rsidR="00EF7C60" w:rsidRPr="00EF7C60" w:rsidRDefault="00D5315F">
        <w:pPr>
          <w:pStyle w:val="Kopfzeile"/>
          <w:jc w:val="center"/>
          <w:rPr>
            <w:rFonts w:ascii="Corbel" w:hAnsi="Corbel"/>
            <w:sz w:val="23"/>
            <w:szCs w:val="23"/>
          </w:rPr>
        </w:pPr>
      </w:p>
    </w:sdtContent>
  </w:sdt>
  <w:p w:rsidR="00EF7C60" w:rsidRDefault="00EF7C60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C60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</w:p>
  <w:p w:rsidR="00EF7C60" w:rsidRPr="00C53C56" w:rsidRDefault="00EF7C60" w:rsidP="00EF7C60">
    <w:pPr>
      <w:pStyle w:val="Kopfzeile"/>
      <w:jc w:val="right"/>
      <w:rPr>
        <w:color w:val="FF0000"/>
        <w:szCs w:val="24"/>
        <w:rFonts w:ascii="Corbel" w:hAnsi="Corbel"/>
      </w:rPr>
    </w:pPr>
    <w:r>
      <w:rPr>
        <w:rFonts w:ascii="Corbel" w:hAnsi="Corbel"/>
      </w:rPr>
      <w:drawing>
        <wp:anchor distT="0" distB="0" distL="114300" distR="114300" simplePos="0" relativeHeight="251661312" behindDoc="0" locked="0" layoutInCell="1" allowOverlap="1" wp14:anchorId="22FA6623" wp14:editId="7B2D2281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2628900" cy="628015"/>
          <wp:effectExtent l="0" t="0" r="0" b="635"/>
          <wp:wrapSquare wrapText="bothSides"/>
          <wp:docPr id="25" name="Grafik 25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color w:val="FF0000"/>
        <w:rFonts w:ascii="Corbel" w:hAnsi="Corbel"/>
      </w:rPr>
      <w:t xml:space="preserve">bildung-ooe.gv.at</w:t>
    </w:r>
  </w:p>
  <w:p w:rsidR="00EF7C60" w:rsidRPr="00C53C56" w:rsidRDefault="00EF7C60" w:rsidP="00EF7C60">
    <w:pPr>
      <w:pStyle w:val="Kopfzeile"/>
      <w:jc w:val="right"/>
      <w:rPr>
        <w:sz w:val="17"/>
        <w:szCs w:val="17"/>
        <w:rFonts w:ascii="Corbel" w:hAnsi="Corbel"/>
      </w:rPr>
    </w:pPr>
    <w:r>
      <w:rPr>
        <w:sz w:val="17"/>
        <w:rFonts w:ascii="Corbel" w:hAnsi="Corbel"/>
      </w:rPr>
      <w:br/>
    </w:r>
    <w:r>
      <w:rPr>
        <w:sz w:val="17"/>
        <w:rFonts w:ascii="Corbel" w:hAnsi="Corbel"/>
      </w:rPr>
      <w:t xml:space="preserve">Sonnensteinstraße 20</w:t>
    </w:r>
  </w:p>
  <w:p w:rsidR="00EF7C60" w:rsidRPr="00C53C56" w:rsidRDefault="00EF7C60" w:rsidP="00EF7C60">
    <w:pPr>
      <w:pStyle w:val="Kopfzeile"/>
      <w:jc w:val="right"/>
      <w:rPr>
        <w:sz w:val="17"/>
        <w:szCs w:val="17"/>
        <w:rFonts w:ascii="Corbel" w:hAnsi="Corbel"/>
      </w:rPr>
    </w:pPr>
    <w:r>
      <w:rPr>
        <w:sz w:val="17"/>
        <w:rFonts w:ascii="Corbel" w:hAnsi="Corbel"/>
      </w:rPr>
      <w:t xml:space="preserve">4040 Linz</w:t>
    </w:r>
  </w:p>
  <w:p w:rsidR="00EF7C60" w:rsidRPr="00C53C56" w:rsidRDefault="00D5315F" w:rsidP="00EF7C60">
    <w:pPr>
      <w:pStyle w:val="Kopfzeile"/>
      <w:jc w:val="right"/>
      <w:rPr>
        <w:sz w:val="17"/>
        <w:szCs w:val="17"/>
        <w:rFonts w:ascii="Corbel" w:hAnsi="Corbel"/>
      </w:rPr>
    </w:pPr>
    <w:hyperlink r:id="rId2" w:history="1">
      <w:r>
        <w:rPr>
          <w:rStyle w:val="Hyperlink"/>
          <w:sz w:val="17"/>
          <w:rFonts w:ascii="Corbel" w:hAnsi="Corbel"/>
        </w:rPr>
        <w:t xml:space="preserve">bd.post@bildung-ooe.gv.at</w:t>
      </w:r>
    </w:hyperlink>
  </w:p>
  <w:p w:rsidR="00EF7C60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:rsidR="00EF7C60" w:rsidRPr="00C53C56" w:rsidRDefault="00CE2D25" w:rsidP="00EF7C60">
    <w:pPr>
      <w:pStyle w:val="Kopfzeile"/>
      <w:jc w:val="right"/>
      <w:rPr>
        <w:sz w:val="17"/>
        <w:szCs w:val="17"/>
        <w:rFonts w:ascii="Corbel" w:hAnsi="Corbel"/>
      </w:rPr>
    </w:pPr>
    <w:r>
      <w:rPr>
        <w:sz w:val="17"/>
        <w:rFonts w:ascii="Corbel" w:hAnsi="Corbel"/>
      </w:rPr>
      <w:t xml:space="preserve">U/S-4b2/travanj 2019.</w:t>
    </w:r>
  </w:p>
  <w:p w:rsidR="00EF7C60" w:rsidRDefault="00EF7C6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E72D15"/>
    <w:multiLevelType w:val="hybridMultilevel"/>
    <w:tmpl w:val="859E99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C60"/>
    <w:rsid w:val="00337714"/>
    <w:rsid w:val="00493006"/>
    <w:rsid w:val="006C4734"/>
    <w:rsid w:val="00B65E69"/>
    <w:rsid w:val="00CE2D25"/>
    <w:rsid w:val="00D5315F"/>
    <w:rsid w:val="00EF7C60"/>
    <w:rsid w:val="00FB1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rbel" w:eastAsiaTheme="minorHAnsi" w:hAnsi="Corbel" w:cstheme="minorBidi"/>
        <w:sz w:val="22"/>
        <w:szCs w:val="22"/>
        <w:lang w:val="hr-HR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:lang w:val="hr-HR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:lang w:val="hr-HR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hr-HR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hr-HR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hr-HR"/>
      <w14:numForm w14:val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rbel" w:eastAsiaTheme="minorHAnsi" w:hAnsi="Corbel" w:cstheme="minorBidi"/>
        <w:sz w:val="22"/>
        <w:szCs w:val="22"/>
        <w:lang w:val="de-AT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:lang w:val="de-DE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:lang w:val="de-DE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de-DE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de-DE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de-DE"/>
      <w14:numForm w14:val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&#65279;<?xml version="1.0" encoding="UTF-8" standalone="yes"?>
<Relationships xmlns="http://schemas.openxmlformats.org/package/2006/relationships"><Relationship Id="rId2" Type="http://schemas.openxmlformats.org/officeDocument/2006/relationships/hyperlink" Target="mailto:bd.post@bildung-ooe.gv.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706</Words>
  <Characters>4028</Characters>
  <Application>Microsoft Office Word</Application>
  <DocSecurity>0</DocSecurity>
  <Lines>33</Lines>
  <Paragraphs>9</Paragraphs>
  <ScaleCrop>false</ScaleCrop>
  <Company/>
  <LinksUpToDate>false</LinksUpToDate>
  <CharactersWithSpaces>4725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2021-10-28T08:19:00Z</dcterms:created>
  <dcterms:modified xsi:type="dcterms:W3CDTF">2021-10-28T08:19:00Z</dcterms:modified>
</cp:coreProperties>
</file>